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E7B87" w14:textId="6498E307" w:rsidR="00B75C33" w:rsidRDefault="00B75C33">
      <w:pPr>
        <w:rPr>
          <w:noProof/>
        </w:rPr>
      </w:pPr>
      <w:r>
        <w:rPr>
          <w:rFonts w:hint="eastAsia"/>
          <w:noProof/>
        </w:rPr>
        <w:t>＜S</w:t>
      </w:r>
      <w:r>
        <w:rPr>
          <w:noProof/>
        </w:rPr>
        <w:t>mall-colony variants</w:t>
      </w:r>
      <w:r>
        <w:rPr>
          <w:rFonts w:hint="eastAsia"/>
          <w:noProof/>
        </w:rPr>
        <w:t>＞</w:t>
      </w:r>
    </w:p>
    <w:p w14:paraId="13F83D2D" w14:textId="4811EDCD" w:rsidR="00B75C33" w:rsidRDefault="00B75C33">
      <w:r w:rsidRPr="00B75C33">
        <w:t>Small-colony variants（SCVs）は、小型で非典型的なコロニー形態を示す変異株の総称で</w:t>
      </w:r>
      <w:r>
        <w:rPr>
          <w:rFonts w:hint="eastAsia"/>
        </w:rPr>
        <w:t>す。これらは、</w:t>
      </w:r>
      <w:r w:rsidRPr="00B75C33">
        <w:t>野生型株に比べ、持続性、再発性の感染症を引き起こす</w:t>
      </w:r>
      <w:r>
        <w:rPr>
          <w:rFonts w:hint="eastAsia"/>
        </w:rPr>
        <w:t>ことが報告されています。また、非典型的な</w:t>
      </w:r>
      <w:r w:rsidR="005004D4">
        <w:rPr>
          <w:rFonts w:hint="eastAsia"/>
        </w:rPr>
        <w:t>コロニー形態や</w:t>
      </w:r>
      <w:r w:rsidR="00261F7E">
        <w:rPr>
          <w:rFonts w:hint="eastAsia"/>
        </w:rPr>
        <w:t>発育条件</w:t>
      </w:r>
      <w:r>
        <w:rPr>
          <w:rFonts w:hint="eastAsia"/>
        </w:rPr>
        <w:t>、遅い発育速度、低い生化学的活性などが影響し、標準法に基づく同定検査や薬剤感受性検査が困難なことが多くあり、臨床検査</w:t>
      </w:r>
      <w:r w:rsidR="00261F7E">
        <w:rPr>
          <w:rFonts w:hint="eastAsia"/>
        </w:rPr>
        <w:t>においてもしばしば問題になります。私たちは、これらS</w:t>
      </w:r>
      <w:r w:rsidR="00261F7E">
        <w:t>CVs</w:t>
      </w:r>
      <w:r w:rsidR="00261F7E">
        <w:rPr>
          <w:rFonts w:hint="eastAsia"/>
        </w:rPr>
        <w:t>のメカニズム解明と検査法の確立を目指して研究を行っています。</w:t>
      </w:r>
    </w:p>
    <w:p w14:paraId="0E49486F" w14:textId="77777777" w:rsidR="00261F7E" w:rsidRDefault="00261F7E" w:rsidP="00261F7E">
      <w:pPr>
        <w:autoSpaceDE w:val="0"/>
        <w:autoSpaceDN w:val="0"/>
        <w:adjustRightInd w:val="0"/>
        <w:rPr>
          <w:rFonts w:ascii="Times New Roman" w:hAnsi="Times New Roman" w:cs="Times New Roman"/>
          <w:kern w:val="0"/>
          <w:sz w:val="24"/>
        </w:rPr>
      </w:pPr>
      <w:r>
        <w:rPr>
          <w:rFonts w:ascii="Times New Roman" w:hAnsi="Times New Roman" w:cs="Times New Roman"/>
          <w:kern w:val="0"/>
          <w:sz w:val="24"/>
        </w:rPr>
        <w:t>1.</w:t>
      </w:r>
      <w:r>
        <w:rPr>
          <w:rFonts w:ascii="Times New Roman" w:hAnsi="Times New Roman" w:cs="Times New Roman"/>
          <w:kern w:val="0"/>
          <w:sz w:val="24"/>
        </w:rPr>
        <w:tab/>
        <w:t xml:space="preserve">Horiuchi K, Matsumoto T, Ota Y, et al. Addition of thymidine to culture media for accurate examination of thymidine-dependent small-colony variants of methicillin-resistant </w:t>
      </w:r>
      <w:r w:rsidRPr="00261F7E">
        <w:rPr>
          <w:rFonts w:ascii="Times New Roman" w:hAnsi="Times New Roman" w:cs="Times New Roman"/>
          <w:i/>
          <w:iCs/>
          <w:kern w:val="0"/>
          <w:sz w:val="24"/>
        </w:rPr>
        <w:t>Staphylococcus aureus</w:t>
      </w:r>
      <w:r>
        <w:rPr>
          <w:rFonts w:ascii="Times New Roman" w:hAnsi="Times New Roman" w:cs="Times New Roman"/>
          <w:kern w:val="0"/>
          <w:sz w:val="24"/>
        </w:rPr>
        <w:t xml:space="preserve">: a pilot study. </w:t>
      </w:r>
      <w:r>
        <w:rPr>
          <w:rFonts w:ascii="Times New Roman" w:hAnsi="Times New Roman" w:cs="Times New Roman"/>
          <w:i/>
          <w:iCs/>
          <w:kern w:val="0"/>
          <w:sz w:val="24"/>
        </w:rPr>
        <w:t xml:space="preserve">J </w:t>
      </w:r>
      <w:proofErr w:type="spellStart"/>
      <w:r>
        <w:rPr>
          <w:rFonts w:ascii="Times New Roman" w:hAnsi="Times New Roman" w:cs="Times New Roman"/>
          <w:i/>
          <w:iCs/>
          <w:kern w:val="0"/>
          <w:sz w:val="24"/>
        </w:rPr>
        <w:t>Microbiol</w:t>
      </w:r>
      <w:proofErr w:type="spellEnd"/>
      <w:r>
        <w:rPr>
          <w:rFonts w:ascii="Times New Roman" w:hAnsi="Times New Roman" w:cs="Times New Roman"/>
          <w:i/>
          <w:iCs/>
          <w:kern w:val="0"/>
          <w:sz w:val="24"/>
        </w:rPr>
        <w:t xml:space="preserve"> Methods</w:t>
      </w:r>
      <w:r>
        <w:rPr>
          <w:rFonts w:ascii="Times New Roman" w:hAnsi="Times New Roman" w:cs="Times New Roman"/>
          <w:kern w:val="0"/>
          <w:sz w:val="24"/>
        </w:rPr>
        <w:t>. Mar 2015;110:40-4. doi:10.1016/j.mimet.2015.01.007</w:t>
      </w:r>
    </w:p>
    <w:p w14:paraId="2C6C703D" w14:textId="77777777" w:rsidR="00261F7E" w:rsidRDefault="00261F7E" w:rsidP="00261F7E">
      <w:pPr>
        <w:autoSpaceDE w:val="0"/>
        <w:autoSpaceDN w:val="0"/>
        <w:adjustRightInd w:val="0"/>
        <w:rPr>
          <w:rFonts w:ascii="Times New Roman" w:hAnsi="Times New Roman" w:cs="Times New Roman"/>
          <w:kern w:val="0"/>
          <w:sz w:val="24"/>
        </w:rPr>
      </w:pPr>
      <w:r>
        <w:rPr>
          <w:rFonts w:ascii="Times New Roman" w:hAnsi="Times New Roman" w:cs="Times New Roman"/>
          <w:kern w:val="0"/>
          <w:sz w:val="24"/>
        </w:rPr>
        <w:t>2.</w:t>
      </w:r>
      <w:r>
        <w:rPr>
          <w:rFonts w:ascii="Times New Roman" w:hAnsi="Times New Roman" w:cs="Times New Roman"/>
          <w:kern w:val="0"/>
          <w:sz w:val="24"/>
        </w:rPr>
        <w:tab/>
        <w:t xml:space="preserve">Negishi T, Matsumoto T, Horiuchi K, et al. Characterization of clinically isolated thymidine-dependent small-colony variants of </w:t>
      </w:r>
      <w:r w:rsidRPr="00261F7E">
        <w:rPr>
          <w:rFonts w:ascii="Times New Roman" w:hAnsi="Times New Roman" w:cs="Times New Roman"/>
          <w:i/>
          <w:iCs/>
          <w:kern w:val="0"/>
          <w:sz w:val="24"/>
        </w:rPr>
        <w:t>Escherichia coli</w:t>
      </w:r>
      <w:r>
        <w:rPr>
          <w:rFonts w:ascii="Times New Roman" w:hAnsi="Times New Roman" w:cs="Times New Roman"/>
          <w:kern w:val="0"/>
          <w:sz w:val="24"/>
        </w:rPr>
        <w:t xml:space="preserve"> producing extended-spectrum β-lactamase. </w:t>
      </w:r>
      <w:r>
        <w:rPr>
          <w:rFonts w:ascii="Times New Roman" w:hAnsi="Times New Roman" w:cs="Times New Roman"/>
          <w:i/>
          <w:iCs/>
          <w:kern w:val="0"/>
          <w:sz w:val="24"/>
        </w:rPr>
        <w:t xml:space="preserve">J Med </w:t>
      </w:r>
      <w:proofErr w:type="spellStart"/>
      <w:r>
        <w:rPr>
          <w:rFonts w:ascii="Times New Roman" w:hAnsi="Times New Roman" w:cs="Times New Roman"/>
          <w:i/>
          <w:iCs/>
          <w:kern w:val="0"/>
          <w:sz w:val="24"/>
        </w:rPr>
        <w:t>Microbiol</w:t>
      </w:r>
      <w:proofErr w:type="spellEnd"/>
      <w:r>
        <w:rPr>
          <w:rFonts w:ascii="Times New Roman" w:hAnsi="Times New Roman" w:cs="Times New Roman"/>
          <w:kern w:val="0"/>
          <w:sz w:val="24"/>
        </w:rPr>
        <w:t>. Jan 2018;67(1):33-39. doi:10.1099/jmm.0.000634</w:t>
      </w:r>
    </w:p>
    <w:p w14:paraId="1327C73F" w14:textId="77777777" w:rsidR="00261F7E" w:rsidRDefault="00261F7E"/>
    <w:p w14:paraId="12E2C35E" w14:textId="35933517" w:rsidR="004307CE" w:rsidRDefault="005004D4">
      <w:r>
        <w:rPr>
          <w:rFonts w:hint="eastAsia"/>
          <w:noProof/>
        </w:rPr>
        <w:drawing>
          <wp:inline distT="0" distB="0" distL="0" distR="0" wp14:anchorId="6B687BCF" wp14:editId="72DCA191">
            <wp:extent cx="3448050" cy="3598072"/>
            <wp:effectExtent l="0" t="0" r="0" b="2540"/>
            <wp:docPr id="1058315621" name="図 1" descr="背景パタ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15621" name="図 1" descr="背景パターン が含まれている画像&#10;&#10;自動的に生成された説明"/>
                    <pic:cNvPicPr/>
                  </pic:nvPicPr>
                  <pic:blipFill>
                    <a:blip r:embed="rId4" cstate="print">
                      <a:extLst>
                        <a:ext uri="{28A0092B-C50C-407E-A947-70E740481C1C}">
                          <a14:useLocalDpi xmlns:a14="http://schemas.microsoft.com/office/drawing/2010/main" val="0"/>
                        </a:ext>
                      </a:extLst>
                    </a:blip>
                    <a:stretch>
                      <a:fillRect/>
                    </a:stretch>
                  </pic:blipFill>
                  <pic:spPr>
                    <a:xfrm>
                      <a:off x="0" y="0"/>
                      <a:ext cx="3456427" cy="3606813"/>
                    </a:xfrm>
                    <a:prstGeom prst="rect">
                      <a:avLst/>
                    </a:prstGeom>
                  </pic:spPr>
                </pic:pic>
              </a:graphicData>
            </a:graphic>
          </wp:inline>
        </w:drawing>
      </w:r>
    </w:p>
    <w:p w14:paraId="2FCC5F0E" w14:textId="48A23701" w:rsidR="00865C93" w:rsidRDefault="00865C93">
      <w:r>
        <w:rPr>
          <w:rFonts w:hint="eastAsia"/>
        </w:rPr>
        <w:t>図　左，がS</w:t>
      </w:r>
      <w:r>
        <w:t>mall-colony variants</w:t>
      </w:r>
      <w:r>
        <w:rPr>
          <w:rFonts w:hint="eastAsia"/>
        </w:rPr>
        <w:t>；右，野生型株</w:t>
      </w:r>
    </w:p>
    <w:p w14:paraId="2D61871C" w14:textId="65EE07AF" w:rsidR="00865C93" w:rsidRDefault="00865C93">
      <w:r>
        <w:rPr>
          <w:rFonts w:hint="eastAsia"/>
        </w:rPr>
        <w:t>コロニー形態や菌体の形態が野生型株と比較し大きく異なることが分かります。</w:t>
      </w:r>
    </w:p>
    <w:p w14:paraId="6D641D6E" w14:textId="77777777" w:rsidR="00295701" w:rsidRDefault="00295701"/>
    <w:p w14:paraId="417D78BD" w14:textId="77777777" w:rsidR="00295701" w:rsidRDefault="00295701"/>
    <w:p w14:paraId="281A724E" w14:textId="512DFDFF" w:rsidR="00295701" w:rsidRDefault="00295701">
      <w:r>
        <w:rPr>
          <w:rFonts w:hint="eastAsia"/>
        </w:rPr>
        <w:lastRenderedPageBreak/>
        <w:t>＜</w:t>
      </w:r>
      <w:r>
        <w:rPr>
          <w:rFonts w:ascii="Century" w:eastAsia="ＭＳ 明朝" w:hAnsi="Century"/>
          <w:sz w:val="22"/>
        </w:rPr>
        <w:t>non-</w:t>
      </w:r>
      <w:r>
        <w:rPr>
          <w:rFonts w:ascii="Century" w:eastAsia="ＭＳ 明朝" w:hAnsi="Century"/>
          <w:i/>
          <w:sz w:val="22"/>
        </w:rPr>
        <w:t>H</w:t>
      </w:r>
      <w:r>
        <w:rPr>
          <w:rFonts w:ascii="Century" w:eastAsia="ＭＳ 明朝" w:hAnsi="Century" w:hint="eastAsia"/>
          <w:i/>
          <w:sz w:val="22"/>
        </w:rPr>
        <w:t>e</w:t>
      </w:r>
      <w:r>
        <w:rPr>
          <w:rFonts w:ascii="Century" w:eastAsia="ＭＳ 明朝" w:hAnsi="Century"/>
          <w:i/>
          <w:sz w:val="22"/>
        </w:rPr>
        <w:t>licobacter. pylori</w:t>
      </w:r>
      <w:r>
        <w:rPr>
          <w:rFonts w:ascii="Century" w:eastAsia="ＭＳ 明朝" w:hAnsi="Century"/>
          <w:sz w:val="22"/>
        </w:rPr>
        <w:t xml:space="preserve"> Helicobacter</w:t>
      </w:r>
      <w:r>
        <w:t xml:space="preserve"> (NHPH)</w:t>
      </w:r>
      <w:r>
        <w:rPr>
          <w:rFonts w:hint="eastAsia"/>
        </w:rPr>
        <w:t>＞</w:t>
      </w:r>
    </w:p>
    <w:p w14:paraId="03724032" w14:textId="6A3855C1" w:rsidR="00295701" w:rsidRDefault="00E00746" w:rsidP="00E00746">
      <w:r>
        <w:rPr>
          <w:rFonts w:hint="eastAsia"/>
        </w:rPr>
        <w:t>ヒトの胃に生息し、病原性を示す螺旋菌は</w:t>
      </w:r>
      <w:r w:rsidRPr="00E00746">
        <w:rPr>
          <w:i/>
          <w:iCs/>
        </w:rPr>
        <w:t>Helicobacter pylori</w:t>
      </w:r>
      <w:r>
        <w:t xml:space="preserve"> だけではないことが注目され</w:t>
      </w:r>
      <w:r>
        <w:rPr>
          <w:rFonts w:hint="eastAsia"/>
        </w:rPr>
        <w:t>ています。</w:t>
      </w:r>
      <w:r>
        <w:t>それらは、gastric non-</w:t>
      </w:r>
      <w:r w:rsidRPr="00E00746">
        <w:rPr>
          <w:i/>
          <w:iCs/>
        </w:rPr>
        <w:t>H. pylori</w:t>
      </w:r>
      <w:r>
        <w:t xml:space="preserve"> Helicobacter (NHPH) と</w:t>
      </w:r>
      <w:r>
        <w:rPr>
          <w:rFonts w:hint="eastAsia"/>
        </w:rPr>
        <w:t>呼ばれ、</w:t>
      </w:r>
      <w:r w:rsidRPr="00E00746">
        <w:rPr>
          <w:i/>
          <w:iCs/>
        </w:rPr>
        <w:t>H. pylori</w:t>
      </w:r>
      <w:r>
        <w:t xml:space="preserve"> とは異なり、ペットや家畜などが自然宿主であることから、人獣共通感染症の側面を持</w:t>
      </w:r>
      <w:r>
        <w:rPr>
          <w:rFonts w:hint="eastAsia"/>
        </w:rPr>
        <w:t>っています。</w:t>
      </w:r>
      <w:r>
        <w:t>ヒトに対しては慢性胃炎や胃潰瘍、胃MALTリンパ腫の原因と</w:t>
      </w:r>
      <w:r>
        <w:rPr>
          <w:rFonts w:hint="eastAsia"/>
        </w:rPr>
        <w:t>なる細菌です</w:t>
      </w:r>
      <w:r>
        <w:t>。</w:t>
      </w:r>
      <w:r>
        <w:rPr>
          <w:rFonts w:hint="eastAsia"/>
        </w:rPr>
        <w:t>本菌は</w:t>
      </w:r>
      <w:r>
        <w:t>人工培地での培養が</w:t>
      </w:r>
      <w:r>
        <w:rPr>
          <w:rFonts w:hint="eastAsia"/>
        </w:rPr>
        <w:t>難</w:t>
      </w:r>
      <w:r w:rsidR="00B92450">
        <w:rPr>
          <w:rFonts w:hint="eastAsia"/>
        </w:rPr>
        <w:t>しい特徴があります。今後、本菌の特性の解析や</w:t>
      </w:r>
      <w:r>
        <w:rPr>
          <w:rFonts w:hint="eastAsia"/>
        </w:rPr>
        <w:t>検査</w:t>
      </w:r>
      <w:r w:rsidR="00B92450">
        <w:rPr>
          <w:rFonts w:hint="eastAsia"/>
        </w:rPr>
        <w:t>法の開発を考えた場合、人工培地での培養法の確立が非常に重要と考え、チャレンジを重ねています。</w:t>
      </w:r>
    </w:p>
    <w:p w14:paraId="0A6874DE" w14:textId="7AB74BF8" w:rsidR="00B92450" w:rsidRDefault="003C6A9D" w:rsidP="00E00746">
      <w:r>
        <w:rPr>
          <w:noProof/>
        </w:rPr>
        <w:drawing>
          <wp:inline distT="0" distB="0" distL="0" distR="0" wp14:anchorId="68700681" wp14:editId="5BDF9AD7">
            <wp:extent cx="5433060" cy="4067175"/>
            <wp:effectExtent l="0" t="0" r="0" b="9525"/>
            <wp:docPr id="123502774" name="図 1" descr="写真, 古い, 持つ, モニタ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2774" name="図 1" descr="写真, 古い, 持つ, モニター が含まれている画像&#10;&#10;自動的に生成された説明"/>
                    <pic:cNvPicPr>
                      <a:picLocks noChangeAspect="1" noChangeArrowheads="1"/>
                    </pic:cNvPicPr>
                  </pic:nvPicPr>
                  <pic:blipFill rotWithShape="1">
                    <a:blip r:embed="rId5">
                      <a:extLst>
                        <a:ext uri="{28A0092B-C50C-407E-A947-70E740481C1C}">
                          <a14:useLocalDpi xmlns:a14="http://schemas.microsoft.com/office/drawing/2010/main" val="0"/>
                        </a:ext>
                      </a:extLst>
                    </a:blip>
                    <a:srcRect b="6374"/>
                    <a:stretch/>
                  </pic:blipFill>
                  <pic:spPr bwMode="auto">
                    <a:xfrm>
                      <a:off x="0" y="0"/>
                      <a:ext cx="5433158" cy="4067248"/>
                    </a:xfrm>
                    <a:prstGeom prst="rect">
                      <a:avLst/>
                    </a:prstGeom>
                    <a:noFill/>
                    <a:ln>
                      <a:noFill/>
                    </a:ln>
                    <a:extLst>
                      <a:ext uri="{53640926-AAD7-44D8-BBD7-CCE9431645EC}">
                        <a14:shadowObscured xmlns:a14="http://schemas.microsoft.com/office/drawing/2010/main"/>
                      </a:ext>
                    </a:extLst>
                  </pic:spPr>
                </pic:pic>
              </a:graphicData>
            </a:graphic>
          </wp:inline>
        </w:drawing>
      </w:r>
    </w:p>
    <w:p w14:paraId="77E90A7F" w14:textId="65C6D075" w:rsidR="00165EA3" w:rsidRDefault="00165EA3" w:rsidP="00165EA3">
      <w:pPr>
        <w:jc w:val="right"/>
        <w:rPr>
          <w:rFonts w:ascii="Arial" w:hAnsi="Arial" w:cs="Arial"/>
          <w:color w:val="222222"/>
          <w:shd w:val="clear" w:color="auto" w:fill="FFFFFF"/>
        </w:rPr>
      </w:pPr>
      <w:r>
        <w:rPr>
          <w:rFonts w:ascii="Arial" w:hAnsi="Arial" w:cs="Arial"/>
          <w:color w:val="222222"/>
          <w:shd w:val="clear" w:color="auto" w:fill="FFFFFF"/>
        </w:rPr>
        <w:t>提供：医学部保健学科</w:t>
      </w:r>
      <w:r>
        <w:rPr>
          <w:rFonts w:ascii="Arial" w:hAnsi="Arial" w:cs="Arial"/>
          <w:color w:val="222222"/>
          <w:shd w:val="clear" w:color="auto" w:fill="FFFFFF"/>
        </w:rPr>
        <w:t xml:space="preserve"> </w:t>
      </w:r>
      <w:r>
        <w:rPr>
          <w:rFonts w:ascii="Arial" w:hAnsi="Arial" w:cs="Arial"/>
          <w:color w:val="222222"/>
          <w:shd w:val="clear" w:color="auto" w:fill="FFFFFF"/>
        </w:rPr>
        <w:t>生体情報検査学　太田浩良</w:t>
      </w:r>
      <w:r>
        <w:rPr>
          <w:rFonts w:ascii="Arial" w:hAnsi="Arial" w:cs="Arial"/>
          <w:color w:val="222222"/>
          <w:shd w:val="clear" w:color="auto" w:fill="FFFFFF"/>
        </w:rPr>
        <w:t xml:space="preserve"> </w:t>
      </w:r>
      <w:r>
        <w:rPr>
          <w:rFonts w:ascii="Arial" w:hAnsi="Arial" w:cs="Arial"/>
          <w:color w:val="222222"/>
          <w:shd w:val="clear" w:color="auto" w:fill="FFFFFF"/>
        </w:rPr>
        <w:t>教授</w:t>
      </w:r>
    </w:p>
    <w:p w14:paraId="6AF463AC" w14:textId="77777777" w:rsidR="00DE567F" w:rsidRDefault="00DE567F" w:rsidP="00165EA3">
      <w:pPr>
        <w:jc w:val="right"/>
        <w:rPr>
          <w:rFonts w:ascii="Arial" w:hAnsi="Arial" w:cs="Arial"/>
          <w:color w:val="222222"/>
          <w:shd w:val="clear" w:color="auto" w:fill="FFFFFF"/>
        </w:rPr>
      </w:pPr>
    </w:p>
    <w:p w14:paraId="7AD6BA7F" w14:textId="77777777" w:rsidR="00DE567F" w:rsidRPr="00B92450" w:rsidRDefault="00DE567F" w:rsidP="00165EA3">
      <w:pPr>
        <w:jc w:val="right"/>
        <w:rPr>
          <w:rFonts w:hint="eastAsia"/>
        </w:rPr>
      </w:pPr>
    </w:p>
    <w:sectPr w:rsidR="00DE567F" w:rsidRPr="00B92450">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712"/>
    <w:rsid w:val="00165EA3"/>
    <w:rsid w:val="00261F7E"/>
    <w:rsid w:val="00265B0F"/>
    <w:rsid w:val="00287FB7"/>
    <w:rsid w:val="00295701"/>
    <w:rsid w:val="003C6A9D"/>
    <w:rsid w:val="00407712"/>
    <w:rsid w:val="004307CE"/>
    <w:rsid w:val="005004D4"/>
    <w:rsid w:val="00635EC7"/>
    <w:rsid w:val="00865C93"/>
    <w:rsid w:val="00A514DC"/>
    <w:rsid w:val="00B75C33"/>
    <w:rsid w:val="00B92450"/>
    <w:rsid w:val="00BB3DE6"/>
    <w:rsid w:val="00C75203"/>
    <w:rsid w:val="00DE567F"/>
    <w:rsid w:val="00E00746"/>
    <w:rsid w:val="00F677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8760385"/>
  <w15:chartTrackingRefBased/>
  <w15:docId w15:val="{2D19C56F-6DE8-4AED-B7EB-1B256398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333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184</Words>
  <Characters>1051</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紺野　沙織</dc:creator>
  <cp:keywords/>
  <dc:description/>
  <cp:lastModifiedBy>一樹 堀内</cp:lastModifiedBy>
  <cp:revision>3</cp:revision>
  <dcterms:created xsi:type="dcterms:W3CDTF">2024-02-15T01:32:00Z</dcterms:created>
  <dcterms:modified xsi:type="dcterms:W3CDTF">2024-02-15T01:32:00Z</dcterms:modified>
</cp:coreProperties>
</file>